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15" w:rsidRDefault="00BF3D15" w:rsidP="00BF3D15">
      <w:pPr>
        <w:jc w:val="center"/>
        <w:rPr>
          <w:b/>
          <w:sz w:val="40"/>
          <w:szCs w:val="40"/>
        </w:rPr>
      </w:pPr>
      <w:r>
        <w:rPr>
          <w:b/>
          <w:sz w:val="40"/>
          <w:szCs w:val="40"/>
        </w:rPr>
        <w:t xml:space="preserve">Careers Activity </w:t>
      </w:r>
      <w:bookmarkStart w:id="0" w:name="_GoBack"/>
      <w:bookmarkEnd w:id="0"/>
    </w:p>
    <w:p w:rsidR="0080221B" w:rsidRDefault="0080221B" w:rsidP="00BF3D15">
      <w:pPr>
        <w:jc w:val="center"/>
        <w:rPr>
          <w:b/>
          <w:sz w:val="40"/>
          <w:szCs w:val="40"/>
        </w:rPr>
      </w:pPr>
    </w:p>
    <w:p w:rsidR="0080221B" w:rsidRDefault="0080221B" w:rsidP="0080221B">
      <w:pPr>
        <w:rPr>
          <w:b/>
          <w:bCs/>
          <w:sz w:val="24"/>
          <w:szCs w:val="24"/>
        </w:rPr>
      </w:pPr>
      <w:r w:rsidRPr="001C6B84">
        <w:rPr>
          <w:b/>
          <w:bCs/>
          <w:sz w:val="24"/>
          <w:szCs w:val="24"/>
        </w:rPr>
        <w:t>Vision</w:t>
      </w:r>
    </w:p>
    <w:p w:rsidR="0080221B" w:rsidRDefault="0080221B" w:rsidP="0080221B">
      <w:pPr>
        <w:rPr>
          <w:b/>
          <w:bCs/>
          <w:sz w:val="24"/>
          <w:szCs w:val="24"/>
        </w:rPr>
      </w:pPr>
    </w:p>
    <w:p w:rsidR="0080221B" w:rsidRPr="002879AE" w:rsidRDefault="0080221B" w:rsidP="0080221B">
      <w:pPr>
        <w:rPr>
          <w:bCs/>
          <w:sz w:val="24"/>
          <w:szCs w:val="24"/>
        </w:rPr>
      </w:pPr>
      <w:r>
        <w:rPr>
          <w:bCs/>
          <w:sz w:val="24"/>
          <w:szCs w:val="24"/>
        </w:rPr>
        <w:t>Our</w:t>
      </w:r>
      <w:r w:rsidRPr="002879AE">
        <w:rPr>
          <w:bCs/>
          <w:sz w:val="24"/>
          <w:szCs w:val="24"/>
        </w:rPr>
        <w:t xml:space="preserve"> vision is to provide outstanding careers advice and guidance which is supportive and inclusive of all students and enables career aims to be achieved and inspires students to be the best they can be. </w:t>
      </w:r>
    </w:p>
    <w:p w:rsidR="0080221B" w:rsidRPr="00540394" w:rsidRDefault="0080221B" w:rsidP="00BF3D15">
      <w:pPr>
        <w:jc w:val="center"/>
        <w:rPr>
          <w:b/>
          <w:sz w:val="40"/>
          <w:szCs w:val="40"/>
        </w:rPr>
      </w:pPr>
    </w:p>
    <w:tbl>
      <w:tblPr>
        <w:tblStyle w:val="TableGrid"/>
        <w:tblW w:w="0" w:type="auto"/>
        <w:tblLook w:val="04A0" w:firstRow="1" w:lastRow="0" w:firstColumn="1" w:lastColumn="0" w:noHBand="0" w:noVBand="1"/>
      </w:tblPr>
      <w:tblGrid>
        <w:gridCol w:w="4062"/>
        <w:gridCol w:w="2364"/>
        <w:gridCol w:w="2590"/>
      </w:tblGrid>
      <w:tr w:rsidR="00BF3D15" w:rsidTr="003705AF">
        <w:tc>
          <w:tcPr>
            <w:tcW w:w="4649" w:type="dxa"/>
          </w:tcPr>
          <w:p w:rsidR="00BF3D15" w:rsidRPr="00784F6F" w:rsidRDefault="00BF3D15" w:rsidP="003705AF">
            <w:pPr>
              <w:jc w:val="center"/>
              <w:rPr>
                <w:b/>
              </w:rPr>
            </w:pPr>
            <w:r w:rsidRPr="00784F6F">
              <w:rPr>
                <w:b/>
              </w:rPr>
              <w:t>Topic</w:t>
            </w:r>
          </w:p>
        </w:tc>
        <w:tc>
          <w:tcPr>
            <w:tcW w:w="4649" w:type="dxa"/>
          </w:tcPr>
          <w:p w:rsidR="00BF3D15" w:rsidRPr="00784F6F" w:rsidRDefault="00BF3D15" w:rsidP="003705AF">
            <w:pPr>
              <w:jc w:val="center"/>
              <w:rPr>
                <w:b/>
              </w:rPr>
            </w:pPr>
            <w:r w:rsidRPr="00784F6F">
              <w:rPr>
                <w:b/>
              </w:rPr>
              <w:t>Gatsby Benchmark</w:t>
            </w:r>
          </w:p>
        </w:tc>
        <w:tc>
          <w:tcPr>
            <w:tcW w:w="4650" w:type="dxa"/>
          </w:tcPr>
          <w:p w:rsidR="00BF3D15" w:rsidRPr="00784F6F" w:rsidRDefault="00BF3D15" w:rsidP="003705AF">
            <w:pPr>
              <w:jc w:val="center"/>
              <w:rPr>
                <w:b/>
              </w:rPr>
            </w:pPr>
            <w:r>
              <w:rPr>
                <w:b/>
              </w:rPr>
              <w:t>Learning Objective</w:t>
            </w:r>
          </w:p>
        </w:tc>
      </w:tr>
      <w:tr w:rsidR="00BF3D15" w:rsidTr="003705AF">
        <w:tc>
          <w:tcPr>
            <w:tcW w:w="13948" w:type="dxa"/>
            <w:gridSpan w:val="3"/>
            <w:shd w:val="clear" w:color="auto" w:fill="FFC000"/>
          </w:tcPr>
          <w:p w:rsidR="00BF3D15" w:rsidRDefault="00BF3D15" w:rsidP="003705AF">
            <w:pPr>
              <w:jc w:val="center"/>
            </w:pPr>
            <w:r>
              <w:rPr>
                <w:b/>
              </w:rPr>
              <w:t>Autumn (Sept – Dec)</w:t>
            </w:r>
          </w:p>
        </w:tc>
      </w:tr>
      <w:tr w:rsidR="00BF3D15" w:rsidTr="003705AF">
        <w:tc>
          <w:tcPr>
            <w:tcW w:w="4649" w:type="dxa"/>
          </w:tcPr>
          <w:p w:rsidR="00BF3D15" w:rsidRDefault="00BF3D15" w:rsidP="003705AF">
            <w:pPr>
              <w:rPr>
                <w:b/>
              </w:rPr>
            </w:pPr>
          </w:p>
          <w:p w:rsidR="00BF3D15" w:rsidRPr="00ED0969" w:rsidRDefault="00BF3D15" w:rsidP="00BF3D15">
            <w:pPr>
              <w:pStyle w:val="ListParagraph"/>
              <w:numPr>
                <w:ilvl w:val="0"/>
                <w:numId w:val="3"/>
              </w:numPr>
            </w:pPr>
            <w:r>
              <w:t>Pathways</w:t>
            </w:r>
          </w:p>
        </w:tc>
        <w:tc>
          <w:tcPr>
            <w:tcW w:w="4649" w:type="dxa"/>
          </w:tcPr>
          <w:p w:rsidR="00BF3D15" w:rsidRDefault="00BF3D15" w:rsidP="003705AF"/>
          <w:p w:rsidR="00BF3D15" w:rsidRDefault="00BF3D15" w:rsidP="003705AF">
            <w:r>
              <w:t>2, 3, 5, 7</w:t>
            </w:r>
          </w:p>
        </w:tc>
        <w:tc>
          <w:tcPr>
            <w:tcW w:w="4650" w:type="dxa"/>
          </w:tcPr>
          <w:p w:rsidR="00BF3D15" w:rsidRDefault="00BF3D15" w:rsidP="003705AF">
            <w:r>
              <w:t>To understand options after L2 and progression routes</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rPr>
                <w:b/>
              </w:rPr>
            </w:pPr>
            <w:r w:rsidRPr="00FB1E4A">
              <w:t>Work experience overview</w:t>
            </w:r>
          </w:p>
        </w:tc>
        <w:tc>
          <w:tcPr>
            <w:tcW w:w="4649" w:type="dxa"/>
          </w:tcPr>
          <w:p w:rsidR="00BF3D15" w:rsidRDefault="00BF3D15" w:rsidP="003705AF"/>
          <w:p w:rsidR="00BF3D15" w:rsidRDefault="00BF3D15" w:rsidP="003705AF">
            <w:r>
              <w:t>3, 5, 6</w:t>
            </w:r>
          </w:p>
        </w:tc>
        <w:tc>
          <w:tcPr>
            <w:tcW w:w="4650" w:type="dxa"/>
          </w:tcPr>
          <w:p w:rsidR="00BF3D15" w:rsidRDefault="00BF3D15" w:rsidP="003705AF">
            <w:r>
              <w:t>To introduce the idea of work experience for students to start thinking about and planning</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 xml:space="preserve">Apprenticeships </w:t>
            </w:r>
          </w:p>
        </w:tc>
        <w:tc>
          <w:tcPr>
            <w:tcW w:w="4649" w:type="dxa"/>
          </w:tcPr>
          <w:p w:rsidR="00BF3D15" w:rsidRDefault="00BF3D15" w:rsidP="003705AF"/>
          <w:p w:rsidR="00BF3D15" w:rsidRDefault="00BF3D15" w:rsidP="003705AF">
            <w:r>
              <w:t>2, 3</w:t>
            </w:r>
          </w:p>
        </w:tc>
        <w:tc>
          <w:tcPr>
            <w:tcW w:w="4650" w:type="dxa"/>
          </w:tcPr>
          <w:p w:rsidR="00BF3D15" w:rsidRDefault="00BF3D15" w:rsidP="003705AF">
            <w:r>
              <w:t>To understand apprenticeship routes, sectors, levels, opportunities available</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 xml:space="preserve">Why University </w:t>
            </w:r>
          </w:p>
        </w:tc>
        <w:tc>
          <w:tcPr>
            <w:tcW w:w="4649" w:type="dxa"/>
          </w:tcPr>
          <w:p w:rsidR="00BF3D15" w:rsidRDefault="00BF3D15" w:rsidP="003705AF"/>
          <w:p w:rsidR="00BF3D15" w:rsidRDefault="00BF3D15" w:rsidP="003705AF">
            <w:r>
              <w:t>2, 3, 7</w:t>
            </w:r>
          </w:p>
        </w:tc>
        <w:tc>
          <w:tcPr>
            <w:tcW w:w="4650" w:type="dxa"/>
          </w:tcPr>
          <w:p w:rsidR="00BF3D15" w:rsidRDefault="00BF3D15" w:rsidP="003705AF">
            <w:r>
              <w:t xml:space="preserve">For students to start understanding options, myth busting </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 xml:space="preserve">Researching &amp; Picking a University </w:t>
            </w:r>
          </w:p>
        </w:tc>
        <w:tc>
          <w:tcPr>
            <w:tcW w:w="4649" w:type="dxa"/>
          </w:tcPr>
          <w:p w:rsidR="00BF3D15" w:rsidRDefault="00BF3D15" w:rsidP="003705AF"/>
          <w:p w:rsidR="00BF3D15" w:rsidRDefault="00BF3D15" w:rsidP="003705AF">
            <w:r>
              <w:t>2, 3, 7</w:t>
            </w:r>
          </w:p>
        </w:tc>
        <w:tc>
          <w:tcPr>
            <w:tcW w:w="4650" w:type="dxa"/>
          </w:tcPr>
          <w:p w:rsidR="00BF3D15" w:rsidRDefault="00BF3D15" w:rsidP="003705AF">
            <w:r>
              <w:t xml:space="preserve">To be confident in making an informed decision about going to university </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Writing a personal statement</w:t>
            </w:r>
          </w:p>
        </w:tc>
        <w:tc>
          <w:tcPr>
            <w:tcW w:w="4649" w:type="dxa"/>
          </w:tcPr>
          <w:p w:rsidR="00BF3D15" w:rsidRDefault="00BF3D15" w:rsidP="003705AF"/>
          <w:p w:rsidR="00BF3D15" w:rsidRDefault="00BF3D15" w:rsidP="003705AF">
            <w:r>
              <w:t>2, 3, 7</w:t>
            </w:r>
          </w:p>
        </w:tc>
        <w:tc>
          <w:tcPr>
            <w:tcW w:w="4650" w:type="dxa"/>
          </w:tcPr>
          <w:p w:rsidR="00BF3D15" w:rsidRDefault="00BF3D15" w:rsidP="003705AF">
            <w:r>
              <w:t>To feel confident writing a personal statement and understanding what is required, what to include</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UCAS Days</w:t>
            </w:r>
          </w:p>
        </w:tc>
        <w:tc>
          <w:tcPr>
            <w:tcW w:w="4649" w:type="dxa"/>
          </w:tcPr>
          <w:p w:rsidR="00BF3D15" w:rsidRDefault="00BF3D15" w:rsidP="003705AF"/>
          <w:p w:rsidR="00BF3D15" w:rsidRDefault="00BF3D15" w:rsidP="003705AF">
            <w:r>
              <w:t>2, 3, 7</w:t>
            </w:r>
          </w:p>
        </w:tc>
        <w:tc>
          <w:tcPr>
            <w:tcW w:w="4650" w:type="dxa"/>
          </w:tcPr>
          <w:p w:rsidR="00BF3D15" w:rsidRDefault="00BF3D15" w:rsidP="003705AF">
            <w:r>
              <w:t xml:space="preserve">Dedicated time for students to complete their personal statements and UCAS applications with support from their teachers </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Non-UCAS Events</w:t>
            </w:r>
          </w:p>
        </w:tc>
        <w:tc>
          <w:tcPr>
            <w:tcW w:w="4649" w:type="dxa"/>
          </w:tcPr>
          <w:p w:rsidR="00BF3D15" w:rsidRDefault="00BF3D15" w:rsidP="003705AF"/>
          <w:p w:rsidR="00BF3D15" w:rsidRDefault="00BF3D15" w:rsidP="003705AF">
            <w:r>
              <w:t>2, 3, 5</w:t>
            </w:r>
          </w:p>
        </w:tc>
        <w:tc>
          <w:tcPr>
            <w:tcW w:w="4650" w:type="dxa"/>
          </w:tcPr>
          <w:p w:rsidR="00BF3D15" w:rsidRDefault="00BF3D15" w:rsidP="003705AF">
            <w:r>
              <w:t xml:space="preserve">For students to understand options other than university </w:t>
            </w:r>
            <w:r>
              <w:lastRenderedPageBreak/>
              <w:t>and to receive information on employability, skills, training, alternative pathways</w:t>
            </w:r>
          </w:p>
        </w:tc>
      </w:tr>
      <w:tr w:rsidR="00BF3D15" w:rsidTr="003705AF">
        <w:tc>
          <w:tcPr>
            <w:tcW w:w="4649" w:type="dxa"/>
          </w:tcPr>
          <w:p w:rsidR="00BF3D15" w:rsidRDefault="00BF3D15" w:rsidP="003705AF">
            <w:pPr>
              <w:pStyle w:val="ListParagraph"/>
            </w:pPr>
          </w:p>
          <w:p w:rsidR="00BF3D15" w:rsidRPr="00FB1E4A" w:rsidRDefault="00BF3D15" w:rsidP="00BF3D15">
            <w:pPr>
              <w:pStyle w:val="ListParagraph"/>
              <w:numPr>
                <w:ilvl w:val="0"/>
                <w:numId w:val="1"/>
              </w:numPr>
            </w:pPr>
            <w:r w:rsidRPr="00FB1E4A">
              <w:t>University Fair</w:t>
            </w:r>
          </w:p>
        </w:tc>
        <w:tc>
          <w:tcPr>
            <w:tcW w:w="4649" w:type="dxa"/>
          </w:tcPr>
          <w:p w:rsidR="00BF3D15" w:rsidRDefault="00BF3D15" w:rsidP="003705AF"/>
          <w:p w:rsidR="00BF3D15" w:rsidRDefault="00BF3D15" w:rsidP="003705AF">
            <w:r>
              <w:t xml:space="preserve">2, 3, 7 </w:t>
            </w:r>
          </w:p>
        </w:tc>
        <w:tc>
          <w:tcPr>
            <w:tcW w:w="4650" w:type="dxa"/>
          </w:tcPr>
          <w:p w:rsidR="00BF3D15" w:rsidRDefault="00BF3D15" w:rsidP="003705AF">
            <w:r>
              <w:t>To understand the range of learning opportunities available and to be able to meet with providers to ask questions, broaden knowledge</w:t>
            </w:r>
          </w:p>
        </w:tc>
      </w:tr>
      <w:tr w:rsidR="00BF3D15" w:rsidTr="003705AF">
        <w:trPr>
          <w:trHeight w:val="479"/>
        </w:trPr>
        <w:tc>
          <w:tcPr>
            <w:tcW w:w="13948" w:type="dxa"/>
            <w:gridSpan w:val="3"/>
            <w:shd w:val="clear" w:color="auto" w:fill="92D050"/>
          </w:tcPr>
          <w:p w:rsidR="00BF3D15" w:rsidRDefault="00BF3D15" w:rsidP="003705AF">
            <w:pPr>
              <w:jc w:val="center"/>
            </w:pPr>
            <w:r>
              <w:rPr>
                <w:b/>
              </w:rPr>
              <w:t>Spring (Jan – April)</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t>1:1 Careers sessions</w:t>
            </w:r>
          </w:p>
          <w:p w:rsidR="00BF3D15" w:rsidRDefault="00BF3D15" w:rsidP="003705AF">
            <w:pPr>
              <w:tabs>
                <w:tab w:val="left" w:pos="3585"/>
              </w:tabs>
              <w:rPr>
                <w:b/>
              </w:rPr>
            </w:pPr>
            <w:r>
              <w:rPr>
                <w:b/>
              </w:rPr>
              <w:tab/>
            </w:r>
          </w:p>
        </w:tc>
        <w:tc>
          <w:tcPr>
            <w:tcW w:w="4649" w:type="dxa"/>
            <w:shd w:val="clear" w:color="auto" w:fill="auto"/>
          </w:tcPr>
          <w:p w:rsidR="00BF3D15" w:rsidRPr="00130802" w:rsidRDefault="00BF3D15" w:rsidP="003705AF">
            <w:pPr>
              <w:tabs>
                <w:tab w:val="left" w:pos="3585"/>
              </w:tabs>
              <w:jc w:val="both"/>
            </w:pPr>
            <w:r w:rsidRPr="00130802">
              <w:t>8</w:t>
            </w:r>
          </w:p>
        </w:tc>
        <w:tc>
          <w:tcPr>
            <w:tcW w:w="4650" w:type="dxa"/>
            <w:shd w:val="clear" w:color="auto" w:fill="auto"/>
          </w:tcPr>
          <w:p w:rsidR="00BF3D15" w:rsidRPr="00007E16" w:rsidRDefault="00BF3D15" w:rsidP="003705AF">
            <w:pPr>
              <w:tabs>
                <w:tab w:val="left" w:pos="3585"/>
              </w:tabs>
              <w:jc w:val="both"/>
            </w:pPr>
            <w:r>
              <w:t>For students to be able to access personal guidance</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t>Not too late campaign</w:t>
            </w:r>
          </w:p>
          <w:p w:rsidR="00BF3D15" w:rsidRDefault="00BF3D15" w:rsidP="003705AF">
            <w:pPr>
              <w:pStyle w:val="ListParagraph"/>
              <w:rPr>
                <w:b/>
              </w:rPr>
            </w:pPr>
          </w:p>
        </w:tc>
        <w:tc>
          <w:tcPr>
            <w:tcW w:w="4649" w:type="dxa"/>
            <w:shd w:val="clear" w:color="auto" w:fill="auto"/>
          </w:tcPr>
          <w:p w:rsidR="00BF3D15" w:rsidRPr="00130802" w:rsidRDefault="00BF3D15" w:rsidP="003705AF">
            <w:pPr>
              <w:tabs>
                <w:tab w:val="left" w:pos="3585"/>
              </w:tabs>
              <w:jc w:val="both"/>
            </w:pPr>
            <w:r>
              <w:t>2, 3, 7</w:t>
            </w:r>
          </w:p>
        </w:tc>
        <w:tc>
          <w:tcPr>
            <w:tcW w:w="4650" w:type="dxa"/>
            <w:shd w:val="clear" w:color="auto" w:fill="auto"/>
          </w:tcPr>
          <w:p w:rsidR="00BF3D15" w:rsidRPr="00116AB3" w:rsidRDefault="00BF3D15" w:rsidP="003705AF">
            <w:pPr>
              <w:tabs>
                <w:tab w:val="left" w:pos="3585"/>
              </w:tabs>
              <w:jc w:val="both"/>
            </w:pPr>
            <w:r w:rsidRPr="00116AB3">
              <w:t xml:space="preserve">For students </w:t>
            </w:r>
            <w:r>
              <w:t>to understand options available and a chance to make any last minute applications</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t>Decision making workshop</w:t>
            </w:r>
          </w:p>
          <w:p w:rsidR="00BF3D15" w:rsidRDefault="00BF3D15" w:rsidP="003705AF">
            <w:pPr>
              <w:tabs>
                <w:tab w:val="left" w:pos="3585"/>
              </w:tabs>
              <w:jc w:val="both"/>
              <w:rPr>
                <w:b/>
              </w:rPr>
            </w:pPr>
          </w:p>
        </w:tc>
        <w:tc>
          <w:tcPr>
            <w:tcW w:w="4649" w:type="dxa"/>
            <w:shd w:val="clear" w:color="auto" w:fill="auto"/>
          </w:tcPr>
          <w:p w:rsidR="00BF3D15" w:rsidRPr="00130802" w:rsidRDefault="00BF3D15" w:rsidP="003705AF">
            <w:pPr>
              <w:tabs>
                <w:tab w:val="left" w:pos="3585"/>
              </w:tabs>
              <w:jc w:val="both"/>
            </w:pPr>
            <w:r>
              <w:t>1, 3</w:t>
            </w:r>
          </w:p>
        </w:tc>
        <w:tc>
          <w:tcPr>
            <w:tcW w:w="4650" w:type="dxa"/>
            <w:shd w:val="clear" w:color="auto" w:fill="auto"/>
          </w:tcPr>
          <w:p w:rsidR="00BF3D15" w:rsidRPr="00007E16" w:rsidRDefault="00BF3D15" w:rsidP="003705AF">
            <w:pPr>
              <w:tabs>
                <w:tab w:val="left" w:pos="3585"/>
              </w:tabs>
              <w:jc w:val="both"/>
            </w:pPr>
            <w:r w:rsidRPr="00007E16">
              <w:t xml:space="preserve">To </w:t>
            </w:r>
            <w:r>
              <w:t xml:space="preserve">build confidence in making decisions and understanding how people make decisions. </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t>Understanding student finance</w:t>
            </w:r>
          </w:p>
          <w:p w:rsidR="00BF3D15" w:rsidRPr="00AD4A3B" w:rsidRDefault="00BF3D15" w:rsidP="003705AF">
            <w:pPr>
              <w:pStyle w:val="ListParagraph"/>
            </w:pPr>
          </w:p>
        </w:tc>
        <w:tc>
          <w:tcPr>
            <w:tcW w:w="4649" w:type="dxa"/>
            <w:shd w:val="clear" w:color="auto" w:fill="auto"/>
          </w:tcPr>
          <w:p w:rsidR="00BF3D15" w:rsidRPr="00130802" w:rsidRDefault="00BF3D15" w:rsidP="003705AF">
            <w:pPr>
              <w:tabs>
                <w:tab w:val="left" w:pos="3585"/>
              </w:tabs>
              <w:jc w:val="both"/>
            </w:pPr>
            <w:r>
              <w:t>2, 7</w:t>
            </w:r>
          </w:p>
        </w:tc>
        <w:tc>
          <w:tcPr>
            <w:tcW w:w="4650" w:type="dxa"/>
            <w:shd w:val="clear" w:color="auto" w:fill="auto"/>
          </w:tcPr>
          <w:p w:rsidR="00BF3D15" w:rsidRPr="00007E16" w:rsidRDefault="00BF3D15" w:rsidP="003705AF">
            <w:pPr>
              <w:tabs>
                <w:tab w:val="left" w:pos="3585"/>
              </w:tabs>
              <w:jc w:val="both"/>
            </w:pPr>
            <w:r>
              <w:t>Myth busting and information on the options available</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t>Careers Fair</w:t>
            </w:r>
          </w:p>
        </w:tc>
        <w:tc>
          <w:tcPr>
            <w:tcW w:w="4649" w:type="dxa"/>
            <w:shd w:val="clear" w:color="auto" w:fill="auto"/>
          </w:tcPr>
          <w:p w:rsidR="00BF3D15" w:rsidRPr="009A7F30" w:rsidRDefault="00BF3D15" w:rsidP="003705AF">
            <w:pPr>
              <w:tabs>
                <w:tab w:val="left" w:pos="3585"/>
              </w:tabs>
              <w:jc w:val="both"/>
            </w:pPr>
            <w:r w:rsidRPr="009A7F30">
              <w:t>2, 3, 4, 5, 6, 7</w:t>
            </w:r>
          </w:p>
        </w:tc>
        <w:tc>
          <w:tcPr>
            <w:tcW w:w="4650" w:type="dxa"/>
            <w:shd w:val="clear" w:color="auto" w:fill="auto"/>
          </w:tcPr>
          <w:p w:rsidR="00BF3D15" w:rsidRPr="009A7F30" w:rsidRDefault="00BF3D15" w:rsidP="003705AF">
            <w:pPr>
              <w:tabs>
                <w:tab w:val="left" w:pos="3585"/>
              </w:tabs>
              <w:jc w:val="both"/>
            </w:pPr>
            <w:r w:rsidRPr="009A7F30">
              <w:t xml:space="preserve">To inform students of choices and options after college. To meet with employers and education providers so they can make informed decisions </w:t>
            </w:r>
          </w:p>
        </w:tc>
      </w:tr>
      <w:tr w:rsidR="00BF3D15" w:rsidTr="003705AF">
        <w:trPr>
          <w:trHeight w:val="479"/>
        </w:trPr>
        <w:tc>
          <w:tcPr>
            <w:tcW w:w="4649" w:type="dxa"/>
            <w:shd w:val="clear" w:color="auto" w:fill="auto"/>
          </w:tcPr>
          <w:p w:rsidR="00BF3D15" w:rsidRDefault="00BF3D15" w:rsidP="00BF3D15">
            <w:pPr>
              <w:pStyle w:val="ListParagraph"/>
              <w:numPr>
                <w:ilvl w:val="0"/>
                <w:numId w:val="2"/>
              </w:numPr>
            </w:pPr>
            <w:r>
              <w:t>University Clearing explained</w:t>
            </w:r>
          </w:p>
        </w:tc>
        <w:tc>
          <w:tcPr>
            <w:tcW w:w="4649" w:type="dxa"/>
            <w:shd w:val="clear" w:color="auto" w:fill="auto"/>
          </w:tcPr>
          <w:p w:rsidR="00BF3D15" w:rsidRPr="00130802" w:rsidRDefault="00BF3D15" w:rsidP="003705AF">
            <w:pPr>
              <w:tabs>
                <w:tab w:val="left" w:pos="3585"/>
              </w:tabs>
              <w:jc w:val="both"/>
            </w:pPr>
            <w:r>
              <w:t>2, 7</w:t>
            </w:r>
          </w:p>
        </w:tc>
        <w:tc>
          <w:tcPr>
            <w:tcW w:w="4650" w:type="dxa"/>
            <w:shd w:val="clear" w:color="auto" w:fill="auto"/>
          </w:tcPr>
          <w:p w:rsidR="00BF3D15" w:rsidRPr="00007E16" w:rsidRDefault="00BF3D15" w:rsidP="003705AF">
            <w:pPr>
              <w:tabs>
                <w:tab w:val="left" w:pos="3585"/>
              </w:tabs>
              <w:jc w:val="both"/>
            </w:pPr>
            <w:r w:rsidRPr="00007E16">
              <w:t>To understand options availabl</w:t>
            </w:r>
            <w:r>
              <w:t xml:space="preserve">e with university in the event of changes </w:t>
            </w:r>
          </w:p>
        </w:tc>
      </w:tr>
      <w:tr w:rsidR="00BF3D15" w:rsidTr="003705AF">
        <w:trPr>
          <w:trHeight w:val="479"/>
        </w:trPr>
        <w:tc>
          <w:tcPr>
            <w:tcW w:w="13948" w:type="dxa"/>
            <w:gridSpan w:val="3"/>
            <w:shd w:val="clear" w:color="auto" w:fill="FFFF00"/>
          </w:tcPr>
          <w:p w:rsidR="00BF3D15" w:rsidRDefault="00BF3D15" w:rsidP="003705AF">
            <w:pPr>
              <w:tabs>
                <w:tab w:val="left" w:pos="3585"/>
              </w:tabs>
              <w:jc w:val="center"/>
              <w:rPr>
                <w:b/>
              </w:rPr>
            </w:pPr>
            <w:r>
              <w:rPr>
                <w:b/>
              </w:rPr>
              <w:t>Summer (May – July</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t>Resilience workshop</w:t>
            </w:r>
          </w:p>
          <w:p w:rsidR="00BF3D15" w:rsidRDefault="00BF3D15" w:rsidP="003705AF">
            <w:pPr>
              <w:pStyle w:val="ListParagraph"/>
            </w:pPr>
          </w:p>
        </w:tc>
        <w:tc>
          <w:tcPr>
            <w:tcW w:w="4649" w:type="dxa"/>
            <w:shd w:val="clear" w:color="auto" w:fill="auto"/>
          </w:tcPr>
          <w:p w:rsidR="00BF3D15" w:rsidRPr="005E64B9" w:rsidRDefault="00BF3D15" w:rsidP="003705AF">
            <w:pPr>
              <w:tabs>
                <w:tab w:val="left" w:pos="3585"/>
              </w:tabs>
              <w:jc w:val="both"/>
            </w:pPr>
            <w:r w:rsidRPr="005E64B9">
              <w:t>3</w:t>
            </w:r>
          </w:p>
        </w:tc>
        <w:tc>
          <w:tcPr>
            <w:tcW w:w="4650" w:type="dxa"/>
            <w:shd w:val="clear" w:color="auto" w:fill="auto"/>
          </w:tcPr>
          <w:p w:rsidR="00BF3D15" w:rsidRPr="00540394" w:rsidRDefault="00BF3D15" w:rsidP="003705AF">
            <w:pPr>
              <w:tabs>
                <w:tab w:val="left" w:pos="3585"/>
              </w:tabs>
              <w:jc w:val="both"/>
            </w:pPr>
            <w:r>
              <w:t>To build s</w:t>
            </w:r>
            <w:r w:rsidRPr="00540394">
              <w:t>elf-</w:t>
            </w:r>
            <w:r>
              <w:t>awareness, confidence and to take ownership of decisions</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t>Student finance deadline reminder</w:t>
            </w:r>
          </w:p>
          <w:p w:rsidR="00BF3D15" w:rsidRPr="00AD4A3B" w:rsidRDefault="00BF3D15" w:rsidP="003705AF">
            <w:pPr>
              <w:pStyle w:val="ListParagraph"/>
            </w:pPr>
          </w:p>
        </w:tc>
        <w:tc>
          <w:tcPr>
            <w:tcW w:w="4649" w:type="dxa"/>
            <w:shd w:val="clear" w:color="auto" w:fill="auto"/>
          </w:tcPr>
          <w:p w:rsidR="00BF3D15" w:rsidRPr="005E64B9" w:rsidRDefault="00BF3D15" w:rsidP="003705AF">
            <w:pPr>
              <w:tabs>
                <w:tab w:val="left" w:pos="3585"/>
              </w:tabs>
              <w:jc w:val="both"/>
            </w:pPr>
            <w:r w:rsidRPr="005E64B9">
              <w:t>2, 7</w:t>
            </w:r>
          </w:p>
        </w:tc>
        <w:tc>
          <w:tcPr>
            <w:tcW w:w="4650" w:type="dxa"/>
            <w:shd w:val="clear" w:color="auto" w:fill="auto"/>
          </w:tcPr>
          <w:p w:rsidR="00BF3D15" w:rsidRPr="00116AB3" w:rsidRDefault="00BF3D15" w:rsidP="003705AF">
            <w:pPr>
              <w:tabs>
                <w:tab w:val="left" w:pos="3585"/>
              </w:tabs>
              <w:jc w:val="both"/>
            </w:pPr>
            <w:r w:rsidRPr="00116AB3">
              <w:t xml:space="preserve">To ensure applications are made to ensure </w:t>
            </w:r>
            <w:r w:rsidRPr="00116AB3">
              <w:lastRenderedPageBreak/>
              <w:t>receipt of funding in time</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rsidRPr="00AD4A3B">
              <w:lastRenderedPageBreak/>
              <w:t>Work experience weeks</w:t>
            </w:r>
          </w:p>
          <w:p w:rsidR="00BF3D15" w:rsidRPr="00AD4A3B" w:rsidRDefault="00BF3D15" w:rsidP="003705AF">
            <w:pPr>
              <w:pStyle w:val="ListParagraph"/>
            </w:pPr>
          </w:p>
        </w:tc>
        <w:tc>
          <w:tcPr>
            <w:tcW w:w="4649" w:type="dxa"/>
            <w:shd w:val="clear" w:color="auto" w:fill="auto"/>
          </w:tcPr>
          <w:p w:rsidR="00BF3D15" w:rsidRPr="005E64B9" w:rsidRDefault="00BF3D15" w:rsidP="003705AF">
            <w:pPr>
              <w:tabs>
                <w:tab w:val="left" w:pos="3585"/>
              </w:tabs>
              <w:jc w:val="both"/>
            </w:pPr>
            <w:r w:rsidRPr="005E64B9">
              <w:t>5, 6</w:t>
            </w:r>
          </w:p>
        </w:tc>
        <w:tc>
          <w:tcPr>
            <w:tcW w:w="4650" w:type="dxa"/>
            <w:shd w:val="clear" w:color="auto" w:fill="auto"/>
          </w:tcPr>
          <w:p w:rsidR="00BF3D15" w:rsidRPr="000A2D8A" w:rsidRDefault="00BF3D15" w:rsidP="003705AF">
            <w:pPr>
              <w:tabs>
                <w:tab w:val="left" w:pos="3585"/>
              </w:tabs>
              <w:jc w:val="both"/>
            </w:pPr>
            <w:r w:rsidRPr="000A2D8A">
              <w:t>To experience workplaces and</w:t>
            </w:r>
            <w:r>
              <w:t xml:space="preserve"> meet</w:t>
            </w:r>
            <w:r w:rsidRPr="000A2D8A">
              <w:t xml:space="preserve"> employers</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t>CV Writing</w:t>
            </w:r>
          </w:p>
        </w:tc>
        <w:tc>
          <w:tcPr>
            <w:tcW w:w="4649" w:type="dxa"/>
            <w:shd w:val="clear" w:color="auto" w:fill="auto"/>
          </w:tcPr>
          <w:p w:rsidR="00BF3D15" w:rsidRPr="005E64B9" w:rsidRDefault="00BF3D15" w:rsidP="003705AF">
            <w:pPr>
              <w:tabs>
                <w:tab w:val="left" w:pos="3585"/>
              </w:tabs>
              <w:jc w:val="both"/>
            </w:pPr>
            <w:r w:rsidRPr="005E64B9">
              <w:t>2, 3, 8</w:t>
            </w:r>
          </w:p>
        </w:tc>
        <w:tc>
          <w:tcPr>
            <w:tcW w:w="4650" w:type="dxa"/>
            <w:shd w:val="clear" w:color="auto" w:fill="auto"/>
          </w:tcPr>
          <w:p w:rsidR="00BF3D15" w:rsidRPr="000A2D8A" w:rsidRDefault="00BF3D15" w:rsidP="003705AF">
            <w:pPr>
              <w:tabs>
                <w:tab w:val="left" w:pos="3585"/>
              </w:tabs>
              <w:jc w:val="both"/>
            </w:pPr>
            <w:r w:rsidRPr="000A2D8A">
              <w:t xml:space="preserve">To understand what is necessary on a CV to build on employability skills </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t>Employability skills</w:t>
            </w:r>
          </w:p>
        </w:tc>
        <w:tc>
          <w:tcPr>
            <w:tcW w:w="4649" w:type="dxa"/>
            <w:shd w:val="clear" w:color="auto" w:fill="auto"/>
          </w:tcPr>
          <w:p w:rsidR="00BF3D15" w:rsidRPr="005E64B9" w:rsidRDefault="00BF3D15" w:rsidP="003705AF">
            <w:pPr>
              <w:tabs>
                <w:tab w:val="left" w:pos="3585"/>
              </w:tabs>
              <w:jc w:val="both"/>
            </w:pPr>
            <w:r w:rsidRPr="005E64B9">
              <w:t>2, 3, 8</w:t>
            </w:r>
          </w:p>
        </w:tc>
        <w:tc>
          <w:tcPr>
            <w:tcW w:w="4650" w:type="dxa"/>
            <w:shd w:val="clear" w:color="auto" w:fill="auto"/>
          </w:tcPr>
          <w:p w:rsidR="00BF3D15" w:rsidRPr="000A2D8A" w:rsidRDefault="00BF3D15" w:rsidP="003705AF">
            <w:pPr>
              <w:tabs>
                <w:tab w:val="left" w:pos="3585"/>
              </w:tabs>
              <w:jc w:val="both"/>
            </w:pPr>
            <w:r w:rsidRPr="000A2D8A">
              <w:t>To improve confidence and to prepare for the future world of work</w:t>
            </w:r>
          </w:p>
        </w:tc>
      </w:tr>
      <w:tr w:rsidR="00BF3D15" w:rsidTr="003705AF">
        <w:trPr>
          <w:trHeight w:val="479"/>
        </w:trPr>
        <w:tc>
          <w:tcPr>
            <w:tcW w:w="4649" w:type="dxa"/>
            <w:shd w:val="clear" w:color="auto" w:fill="auto"/>
          </w:tcPr>
          <w:p w:rsidR="00BF3D15" w:rsidRPr="00AD4A3B" w:rsidRDefault="00BF3D15" w:rsidP="00BF3D15">
            <w:pPr>
              <w:pStyle w:val="ListParagraph"/>
              <w:numPr>
                <w:ilvl w:val="0"/>
                <w:numId w:val="2"/>
              </w:numPr>
            </w:pPr>
            <w:r>
              <w:t>Transition Programme</w:t>
            </w:r>
          </w:p>
        </w:tc>
        <w:tc>
          <w:tcPr>
            <w:tcW w:w="4649" w:type="dxa"/>
            <w:shd w:val="clear" w:color="auto" w:fill="auto"/>
          </w:tcPr>
          <w:p w:rsidR="00BF3D15" w:rsidRPr="005E64B9" w:rsidRDefault="00BF3D15" w:rsidP="003705AF">
            <w:pPr>
              <w:tabs>
                <w:tab w:val="left" w:pos="3585"/>
              </w:tabs>
              <w:jc w:val="both"/>
            </w:pPr>
            <w:r w:rsidRPr="005E64B9">
              <w:t>2, 3, 5</w:t>
            </w:r>
          </w:p>
        </w:tc>
        <w:tc>
          <w:tcPr>
            <w:tcW w:w="4650" w:type="dxa"/>
            <w:shd w:val="clear" w:color="auto" w:fill="auto"/>
          </w:tcPr>
          <w:p w:rsidR="00BF3D15" w:rsidRPr="000A2D8A" w:rsidRDefault="00BF3D15" w:rsidP="003705AF">
            <w:pPr>
              <w:tabs>
                <w:tab w:val="left" w:pos="3585"/>
              </w:tabs>
              <w:jc w:val="both"/>
            </w:pPr>
            <w:r w:rsidRPr="000A2D8A">
              <w:t xml:space="preserve">To build confidence to support progression </w:t>
            </w:r>
          </w:p>
        </w:tc>
      </w:tr>
    </w:tbl>
    <w:p w:rsidR="00BF3D15" w:rsidRDefault="00BF3D15" w:rsidP="00BF3D15"/>
    <w:p w:rsidR="00BF3D15" w:rsidRPr="00520C75" w:rsidRDefault="00BF3D15" w:rsidP="00BF3D15">
      <w:pPr>
        <w:pStyle w:val="ListParagraph"/>
      </w:pPr>
    </w:p>
    <w:p w:rsidR="00FA36F1" w:rsidRDefault="004D24A5"/>
    <w:sectPr w:rsidR="00FA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4C"/>
    <w:multiLevelType w:val="hybridMultilevel"/>
    <w:tmpl w:val="F492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72F0E"/>
    <w:multiLevelType w:val="hybridMultilevel"/>
    <w:tmpl w:val="2E22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F6CFF"/>
    <w:multiLevelType w:val="hybridMultilevel"/>
    <w:tmpl w:val="70E0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15"/>
    <w:rsid w:val="004D24A5"/>
    <w:rsid w:val="0058005B"/>
    <w:rsid w:val="0080221B"/>
    <w:rsid w:val="00BF3D15"/>
    <w:rsid w:val="00F0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5DD1D-11D6-4507-85EA-5BBA4A1B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1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D15"/>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D15"/>
    <w:pPr>
      <w:ind w:left="720"/>
      <w:contextualSpacing/>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403</Words>
  <Characters>2302</Characters>
  <Application>Microsoft Office Word</Application>
  <DocSecurity>0</DocSecurity>
  <Lines>19</Lines>
  <Paragraphs>5</Paragraphs>
  <ScaleCrop>false</ScaleCrop>
  <Company>Richard Taunton Sixth Form College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Cheviot</dc:creator>
  <cp:keywords/>
  <dc:description/>
  <cp:lastModifiedBy>Jemma Cheviot</cp:lastModifiedBy>
  <cp:revision>3</cp:revision>
  <dcterms:created xsi:type="dcterms:W3CDTF">2022-03-25T15:30:00Z</dcterms:created>
  <dcterms:modified xsi:type="dcterms:W3CDTF">2022-07-14T09:25:00Z</dcterms:modified>
</cp:coreProperties>
</file>